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00" w:before="200"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</w:t>
      </w:r>
      <w:r w:rsidDel="00000000" w:rsidR="00000000" w:rsidRPr="00000000">
        <w:rPr>
          <w:rFonts w:ascii="Roboto" w:cs="Roboto" w:eastAsia="Roboto" w:hAnsi="Roboto"/>
          <w:rtl w:val="0"/>
        </w:rPr>
        <w:t xml:space="preserve">here are many ways to complete the self-assessment worksheet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for the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professional growth plans (PGPs) towards certificate renewal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Here are some optional recommendations: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spacing w:after="0" w:before="0" w:line="276" w:lineRule="auto"/>
        <w:ind w:left="720" w:hanging="360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" w:cs="Roboto" w:eastAsia="Roboto" w:hAnsi="Roboto"/>
          <w:color w:val="009390"/>
          <w:rtl w:val="0"/>
        </w:rPr>
        <w:t xml:space="preserve">Reflection: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Prior to completing the self-assessment, review the full set of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certification standards and benchmarks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,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and reflect on scenarios where you may have or have not enacted the relevant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criteria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or standard.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spacing w:after="0" w:before="0" w:line="276" w:lineRule="auto"/>
        <w:ind w:left="720" w:hanging="360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" w:cs="Roboto" w:eastAsia="Roboto" w:hAnsi="Roboto"/>
          <w:color w:val="009390"/>
          <w:rtl w:val="0"/>
        </w:rPr>
        <w:t xml:space="preserve">Explain the why: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While rating yourself, consider why you rated yourself that way. If it helps, write down your thoughts in the notes column.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after="0" w:before="0" w:line="276" w:lineRule="auto"/>
        <w:ind w:left="720" w:hanging="360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" w:cs="Roboto" w:eastAsia="Roboto" w:hAnsi="Roboto"/>
          <w:color w:val="009390"/>
          <w:rtl w:val="0"/>
        </w:rPr>
        <w:t xml:space="preserve">Partner up: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If you like to collaborate, complete the needs assessment with a colleague who knows you well.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00" w:before="0" w:line="276" w:lineRule="auto"/>
        <w:ind w:left="720" w:firstLine="0"/>
        <w:rPr>
          <w:rFonts w:ascii="Roboto Light" w:cs="Roboto Light" w:eastAsia="Roboto Light" w:hAnsi="Roboto Light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5"/>
        <w:gridCol w:w="1245"/>
        <w:gridCol w:w="1275"/>
        <w:gridCol w:w="1500"/>
        <w:gridCol w:w="4995"/>
        <w:tblGridChange w:id="0">
          <w:tblGrid>
            <w:gridCol w:w="4215"/>
            <w:gridCol w:w="1245"/>
            <w:gridCol w:w="1275"/>
            <w:gridCol w:w="1500"/>
            <w:gridCol w:w="499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2d3047" w:space="0" w:sz="4" w:val="single"/>
              <w:left w:color="2d3047" w:space="0" w:sz="4" w:val="single"/>
              <w:bottom w:color="d0363b" w:space="0" w:sz="4" w:val="single"/>
              <w:right w:color="2d3047" w:space="0" w:sz="4" w:val="single"/>
            </w:tcBorders>
            <w:shd w:fill="2d3047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spacing w:before="200" w:lineRule="auto"/>
              <w:jc w:val="left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Rate your capacity </w:t>
            </w:r>
          </w:p>
          <w:p w:rsidR="00000000" w:rsidDel="00000000" w:rsidP="00000000" w:rsidRDefault="00000000" w:rsidRPr="00000000" w14:paraId="00000007">
            <w:pPr>
              <w:pageBreakBefore w:val="0"/>
              <w:spacing w:after="200" w:before="0" w:lineRule="auto"/>
              <w:jc w:val="left"/>
              <w:rPr>
                <w:rFonts w:ascii="Roboto" w:cs="Roboto" w:eastAsia="Roboto" w:hAnsi="Roboto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ffffff"/>
                <w:sz w:val="20"/>
                <w:szCs w:val="20"/>
                <w:rtl w:val="0"/>
              </w:rPr>
              <w:t xml:space="preserve">Criteria rated as an area for growth indicates the highest need for professional learning.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0363b" w:space="0" w:sz="4" w:val="single"/>
              <w:left w:color="d0363b" w:space="0" w:sz="4" w:val="single"/>
              <w:bottom w:color="d0363b" w:space="0" w:sz="4" w:val="single"/>
              <w:right w:color="d0363b" w:space="0" w:sz="4" w:val="single"/>
            </w:tcBorders>
            <w:shd w:fill="d0363b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 Standards of Practice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0363b" w:space="0" w:sz="4" w:val="single"/>
              <w:left w:color="d0363b" w:space="0" w:sz="4" w:val="single"/>
              <w:bottom w:color="d0363b" w:space="0" w:sz="4" w:val="single"/>
              <w:right w:color="d0363b" w:space="0" w:sz="4" w:val="single"/>
            </w:tcBorders>
            <w:shd w:fill="d0363b" w:val="clear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E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Area for Growth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0363b" w:space="0" w:sz="4" w:val="single"/>
              <w:left w:color="d0363b" w:space="0" w:sz="4" w:val="single"/>
              <w:bottom w:color="d0363b" w:space="0" w:sz="4" w:val="single"/>
              <w:right w:color="d0363b" w:space="0" w:sz="4" w:val="single"/>
            </w:tcBorders>
            <w:shd w:fill="d0363b" w:val="clear"/>
          </w:tcPr>
          <w:p w:rsidR="00000000" w:rsidDel="00000000" w:rsidP="00000000" w:rsidRDefault="00000000" w:rsidRPr="00000000" w14:paraId="0000000F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0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Proficient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0363b" w:space="0" w:sz="4" w:val="single"/>
              <w:left w:color="d0363b" w:space="0" w:sz="4" w:val="single"/>
              <w:bottom w:color="d0363b" w:space="0" w:sz="4" w:val="single"/>
              <w:right w:color="d0363b" w:space="0" w:sz="4" w:val="single"/>
            </w:tcBorders>
            <w:shd w:fill="d0363b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2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Area of Strength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0363b" w:space="0" w:sz="4" w:val="single"/>
              <w:left w:color="d0363b" w:space="0" w:sz="4" w:val="single"/>
              <w:bottom w:color="d0363b" w:space="0" w:sz="4" w:val="single"/>
              <w:right w:color="d0363b" w:space="0" w:sz="4" w:val="single"/>
            </w:tcBorders>
            <w:shd w:fill="d0363b" w:val="clear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Notes (optional)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Roboto" w:cs="Roboto" w:eastAsia="Roboto" w:hAnsi="Roboto"/>
                <w:color w:val="2d3047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2d3047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color w:val="2d3047"/>
                <w:sz w:val="24"/>
                <w:szCs w:val="24"/>
                <w:rtl w:val="0"/>
              </w:rPr>
              <w:t xml:space="preserve">1 | Assessment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after="200" w:before="20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school nurse collects comprehensive data pertinent to the healthcare consumer’s health and/or situation.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 | Diagnosis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after="200" w:before="20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school nurse analyzes the assessment data to determine the diagnoses or issues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5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8">
            <w:pPr>
              <w:pageBreakBefore w:val="0"/>
              <w:spacing w:after="0" w:before="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 | Outcomes identification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spacing w:after="20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school nurse identifies expected outcomes for a plan individualized to the healthcare.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4 | Planning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spacing w:after="20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school nurse develops a plan that prescribes strategies and alternatives to attain expected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spacing w:after="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5 | Implementation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after="20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school nurse implements the identified plan.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45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46">
            <w:pPr>
              <w:pageBreakBefore w:val="0"/>
              <w:spacing w:after="20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A. Coordination of care: The school nurse coordinates care delivery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48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49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pageBreakBefore w:val="0"/>
              <w:spacing w:after="20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B. Health teaching and health promotion: The school nurse employs strategies to promote health and a safe environment, especially regarding health education.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50">
            <w:pPr>
              <w:pageBreakBefore w:val="0"/>
              <w:spacing w:after="20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C. Consultation: The school nurse provides consultation to influence the identified plan, enhance the abilities of others, and effect change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51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53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54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pageBreakBefore w:val="0"/>
              <w:spacing w:after="20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D. Prescriptive authority and treatment: The ARPN uses prescriptive authority, procedures, referrals, treatments, and therapies in accordance with state/federal laws.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5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6 | Evaluation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spacing w:after="20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school nurse develops a plan that prescribes strategies and alternatives to attain expected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60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61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62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63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64">
            <w:pPr>
              <w:pageBreakBefore w:val="0"/>
              <w:spacing w:after="0" w:before="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7 | Ethics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spacing w:after="20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school nurse practices ethically.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6A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6B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6C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6D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spacing w:after="0" w:before="20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8 | 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spacing w:after="200" w:lineRule="auto"/>
              <w:rPr>
                <w:rFonts w:ascii="Roboto" w:cs="Roboto" w:eastAsia="Roboto" w:hAnsi="Roboto"/>
                <w:shd w:fill="fce5cd" w:val="clear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school nurse attains knowledge and competence that reflect current nursing practice.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74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75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76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77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spacing w:after="0" w:before="20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9 | Evidence-based practice and research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spacing w:after="200" w:lineRule="auto"/>
              <w:rPr>
                <w:rFonts w:ascii="Roboto" w:cs="Roboto" w:eastAsia="Roboto" w:hAnsi="Roboto"/>
                <w:shd w:fill="fce5cd" w:val="clear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school nurse integrates evidence and research findings into practice.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7E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7F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80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81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10 | Quality of practice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spacing w:after="20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school nurse contributes to quality nursing practice.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8A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8B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11 | Communication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spacing w:after="20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school nurse communicates effectively in a variety of formats in all areas of practice.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2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3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4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5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12 | Leadership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spacing w:after="20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1"/>
                <w:szCs w:val="21"/>
                <w:highlight w:val="white"/>
                <w:rtl w:val="0"/>
              </w:rPr>
              <w:t xml:space="preserve">The school nurse demonstrates leadership in the professional practice setting and the profession.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C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D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E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F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13 | Collaboration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spacing w:after="20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1"/>
                <w:szCs w:val="21"/>
                <w:highlight w:val="white"/>
                <w:rtl w:val="0"/>
              </w:rPr>
              <w:t xml:space="preserve">The school nurse collaborates with the healthcare consumer, family, school staff, and others in the conduct of nursing practice.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A6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A7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A8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A9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14 | Professional practice evaluation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spacing w:after="20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1"/>
                <w:szCs w:val="21"/>
                <w:highlight w:val="white"/>
                <w:rtl w:val="0"/>
              </w:rPr>
              <w:t xml:space="preserve">The school nurse evaluates one’s own nursing practice in relation to professional practice standards and guidelines, relevant statues, rules, and regulations.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0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1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2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3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4">
            <w:pPr>
              <w:pageBreakBefore w:val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15 | Resource utilization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spacing w:after="20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1"/>
                <w:szCs w:val="21"/>
                <w:highlight w:val="white"/>
                <w:rtl w:val="0"/>
              </w:rPr>
              <w:t xml:space="preserve">The school nurse utilizes appropriate resources to plan and provide nursing services that are safe, effective, and financially responsible.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A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B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C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D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16 | Environmental health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spacing w:after="20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1"/>
                <w:szCs w:val="21"/>
                <w:highlight w:val="white"/>
                <w:rtl w:val="0"/>
              </w:rPr>
              <w:t xml:space="preserve">The school nurse practices in an environmentally safe and healthy manner.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C4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C5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C6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C7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17 | Program Management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pageBreakBefore w:val="0"/>
              <w:spacing w:after="20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1"/>
                <w:szCs w:val="21"/>
                <w:highlight w:val="white"/>
                <w:rtl w:val="0"/>
              </w:rPr>
              <w:t xml:space="preserve">The school nurse manages school health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CE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CF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D0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D1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pageBreakBefore w:val="0"/>
        <w:spacing w:after="0"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Black">
    <w:embedBold w:fontKey="{00000000-0000-0000-0000-000000000000}" r:id="rId5" w:subsetted="0"/>
    <w:embedBoldItalic w:fontKey="{00000000-0000-0000-0000-000000000000}" r:id="rId6" w:subsetted="0"/>
  </w:font>
  <w:font w:name="Roboto Ligh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pageBreakBefore w:val="0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Washington State Professional Educator Standards Board | rev. 08.2020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pStyle w:val="Title"/>
      <w:pageBreakBefore w:val="0"/>
      <w:rPr>
        <w:rFonts w:ascii="Lato Black" w:cs="Lato Black" w:eastAsia="Lato Black" w:hAnsi="Lato Black"/>
        <w:color w:val="2d3047"/>
        <w:sz w:val="32"/>
        <w:szCs w:val="32"/>
      </w:rPr>
    </w:pPr>
    <w:bookmarkStart w:colFirst="0" w:colLast="0" w:name="_30j0zll" w:id="0"/>
    <w:bookmarkEnd w:id="0"/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954912</wp:posOffset>
          </wp:positionH>
          <wp:positionV relativeFrom="page">
            <wp:posOffset>347663</wp:posOffset>
          </wp:positionV>
          <wp:extent cx="2340738" cy="6905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40738" cy="6905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SELF-</w:t>
    </w:r>
    <w:r w:rsidDel="00000000" w:rsidR="00000000" w:rsidRPr="00000000">
      <w:rPr>
        <w:rtl w:val="0"/>
      </w:rPr>
      <w:t xml:space="preserve">ASSESSM</w:t>
    </w:r>
    <w:r w:rsidDel="00000000" w:rsidR="00000000" w:rsidRPr="00000000">
      <w:rPr>
        <w:sz w:val="32"/>
        <w:szCs w:val="32"/>
        <w:rtl w:val="0"/>
      </w:rPr>
      <w:t xml:space="preserve">ENT WORKSHEET FOR PROFESSIONAL GROWTH PLANS |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  <w:t xml:space="preserve">School nurse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pageBreakBefore w:val="0"/>
      <w:spacing w:before="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 Light" w:cs="Roboto Light" w:eastAsia="Roboto Light" w:hAnsi="Roboto Light"/>
        <w:sz w:val="22"/>
        <w:szCs w:val="22"/>
        <w:lang w:val="en-US"/>
      </w:rPr>
    </w:rPrDefault>
    <w:pPrDefault>
      <w:pPr>
        <w:spacing w:after="200" w:before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line="240" w:lineRule="auto"/>
    </w:pPr>
    <w:rPr>
      <w:rFonts w:ascii="Roboto" w:cs="Roboto" w:eastAsia="Roboto" w:hAnsi="Roboto"/>
      <w:color w:val="ffffff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line="240" w:lineRule="auto"/>
    </w:pPr>
    <w:rPr>
      <w:rFonts w:ascii="Roboto" w:cs="Roboto" w:eastAsia="Roboto" w:hAnsi="Roboto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Lato Black" w:cs="Lato Black" w:eastAsia="Lato Black" w:hAnsi="Lato Black"/>
      <w:color w:val="2d3047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pesb.wa.gov/workforce/developing-current-educators/pgp/" TargetMode="External"/><Relationship Id="rId7" Type="http://schemas.openxmlformats.org/officeDocument/2006/relationships/hyperlink" Target="https://www.pesb.wa.gov/workforce/developing-current-educators/certification-standards-renewal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Light-boldItalic.ttf"/><Relationship Id="rId9" Type="http://schemas.openxmlformats.org/officeDocument/2006/relationships/font" Target="fonts/RobotoLight-italic.ttf"/><Relationship Id="rId5" Type="http://schemas.openxmlformats.org/officeDocument/2006/relationships/font" Target="fonts/LatoBlack-bold.ttf"/><Relationship Id="rId6" Type="http://schemas.openxmlformats.org/officeDocument/2006/relationships/font" Target="fonts/LatoBlack-boldItalic.ttf"/><Relationship Id="rId7" Type="http://schemas.openxmlformats.org/officeDocument/2006/relationships/font" Target="fonts/RobotoLight-regular.ttf"/><Relationship Id="rId8" Type="http://schemas.openxmlformats.org/officeDocument/2006/relationships/font" Target="fonts/RobotoLigh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