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276" w:lineRule="auto"/>
        <w:rPr>
          <w:rFonts w:ascii="Roboto Light" w:cs="Roboto Light" w:eastAsia="Roboto Light" w:hAnsi="Roboto Light"/>
        </w:rPr>
      </w:pPr>
      <w:r w:rsidDel="00000000" w:rsidR="00000000" w:rsidRPr="00000000">
        <w:rPr>
          <w:rFonts w:ascii="Roboto Light" w:cs="Roboto Light" w:eastAsia="Roboto Light" w:hAnsi="Roboto Light"/>
          <w:rtl w:val="0"/>
        </w:rPr>
        <w:t xml:space="preserve">There are many ways to complete th</w:t>
      </w:r>
      <w:r w:rsidDel="00000000" w:rsidR="00000000" w:rsidRPr="00000000">
        <w:rPr>
          <w:rtl w:val="0"/>
        </w:rPr>
        <w:t xml:space="preserve">e</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worksheet for </w:t>
      </w:r>
      <w:hyperlink r:id="rId6">
        <w:r w:rsidDel="00000000" w:rsidR="00000000" w:rsidRPr="00000000">
          <w:rPr>
            <w:color w:val="1155cc"/>
            <w:u w:val="single"/>
            <w:rtl w:val="0"/>
          </w:rPr>
          <w:t xml:space="preserve">professional growth plans (PGPs) towards certificate renewal</w:t>
        </w:r>
      </w:hyperlink>
      <w:r w:rsidDel="00000000" w:rsidR="00000000" w:rsidRPr="00000000">
        <w:rPr>
          <w:rtl w:val="0"/>
        </w:rPr>
        <w:t xml:space="preserve"> or for the </w:t>
      </w:r>
      <w:hyperlink r:id="rId7">
        <w:r w:rsidDel="00000000" w:rsidR="00000000" w:rsidRPr="00000000">
          <w:rPr>
            <w:color w:val="1155cc"/>
            <w:u w:val="single"/>
            <w:rtl w:val="0"/>
          </w:rPr>
          <w:t xml:space="preserve">paraeducator certificate program</w:t>
        </w:r>
      </w:hyperlink>
      <w:r w:rsidDel="00000000" w:rsidR="00000000" w:rsidRPr="00000000">
        <w:rPr>
          <w:rtl w:val="0"/>
        </w:rPr>
        <w:t xml:space="preserve">.</w:t>
      </w:r>
      <w:r w:rsidDel="00000000" w:rsidR="00000000" w:rsidRPr="00000000">
        <w:rPr>
          <w:rFonts w:ascii="Roboto Light" w:cs="Roboto Light" w:eastAsia="Roboto Light" w:hAnsi="Roboto Light"/>
          <w:rtl w:val="0"/>
        </w:rPr>
        <w:t xml:space="preserve"> Here are some optional recommendations:</w:t>
      </w:r>
    </w:p>
    <w:p w:rsidR="00000000" w:rsidDel="00000000" w:rsidP="00000000" w:rsidRDefault="00000000" w:rsidRPr="00000000" w14:paraId="00000002">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Lato" w:cs="Lato" w:eastAsia="Lato" w:hAnsi="Lato"/>
          <w:color w:val="009390"/>
          <w:rtl w:val="0"/>
        </w:rPr>
        <w:t xml:space="preserve">Reflection:</w:t>
      </w:r>
      <w:r w:rsidDel="00000000" w:rsidR="00000000" w:rsidRPr="00000000">
        <w:rPr>
          <w:rFonts w:ascii="Roboto Light" w:cs="Roboto Light" w:eastAsia="Roboto Light" w:hAnsi="Roboto Light"/>
          <w:rtl w:val="0"/>
        </w:rPr>
        <w:t xml:space="preserve"> Prior to completing the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review the</w:t>
      </w:r>
      <w:r w:rsidDel="00000000" w:rsidR="00000000" w:rsidRPr="00000000">
        <w:rPr>
          <w:rtl w:val="0"/>
        </w:rPr>
        <w:t xml:space="preserve"> </w:t>
      </w:r>
      <w:hyperlink r:id="rId8">
        <w:r w:rsidDel="00000000" w:rsidR="00000000" w:rsidRPr="00000000">
          <w:rPr>
            <w:color w:val="1155cc"/>
            <w:u w:val="single"/>
            <w:rtl w:val="0"/>
          </w:rPr>
          <w:t xml:space="preserve">Washington State Social Emotional Learning Standards, Benchmarks, and Indicators</w:t>
        </w:r>
      </w:hyperlink>
      <w:r w:rsidDel="00000000" w:rsidR="00000000" w:rsidRPr="00000000">
        <w:rPr>
          <w:rtl w:val="0"/>
        </w:rPr>
        <w:t xml:space="preserve">,</w:t>
      </w:r>
      <w:r w:rsidDel="00000000" w:rsidR="00000000" w:rsidRPr="00000000">
        <w:rPr>
          <w:rFonts w:ascii="Roboto Light" w:cs="Roboto Light" w:eastAsia="Roboto Light" w:hAnsi="Roboto Light"/>
          <w:rtl w:val="0"/>
        </w:rPr>
        <w:t xml:space="preserve"> and reflect on scenarios where you may have or have not enacted the relevant criteria. </w:t>
      </w:r>
      <w:r w:rsidDel="00000000" w:rsidR="00000000" w:rsidRPr="00000000">
        <w:rPr>
          <w:rtl w:val="0"/>
        </w:rPr>
      </w:r>
    </w:p>
    <w:p w:rsidR="00000000" w:rsidDel="00000000" w:rsidP="00000000" w:rsidRDefault="00000000" w:rsidRPr="00000000" w14:paraId="00000003">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Explain the why:</w:t>
      </w:r>
      <w:r w:rsidDel="00000000" w:rsidR="00000000" w:rsidRPr="00000000">
        <w:rPr>
          <w:rFonts w:ascii="Roboto Light" w:cs="Roboto Light" w:eastAsia="Roboto Light" w:hAnsi="Roboto Light"/>
          <w:rtl w:val="0"/>
        </w:rPr>
        <w:t xml:space="preserve"> While rating yourself,  consider why you rated yourself that way. If it helps, write down your thoughts in the notes column.</w:t>
      </w:r>
      <w:r w:rsidDel="00000000" w:rsidR="00000000" w:rsidRPr="00000000">
        <w:rPr>
          <w:rtl w:val="0"/>
        </w:rPr>
      </w:r>
    </w:p>
    <w:p w:rsidR="00000000" w:rsidDel="00000000" w:rsidP="00000000" w:rsidRDefault="00000000" w:rsidRPr="00000000" w14:paraId="00000004">
      <w:pPr>
        <w:pageBreakBefore w:val="0"/>
        <w:numPr>
          <w:ilvl w:val="0"/>
          <w:numId w:val="1"/>
        </w:numPr>
        <w:spacing w:after="20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Partner up:</w:t>
      </w:r>
      <w:r w:rsidDel="00000000" w:rsidR="00000000" w:rsidRPr="00000000">
        <w:rPr>
          <w:rFonts w:ascii="Roboto Light" w:cs="Roboto Light" w:eastAsia="Roboto Light" w:hAnsi="Roboto Light"/>
          <w:rtl w:val="0"/>
        </w:rPr>
        <w:t xml:space="preserve"> If you like to collaborate, complete the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with a colleague who knows you well.</w:t>
      </w:r>
      <w:r w:rsidDel="00000000" w:rsidR="00000000" w:rsidRPr="00000000">
        <w:rPr>
          <w:rtl w:val="0"/>
        </w:rPr>
      </w:r>
    </w:p>
    <w:tbl>
      <w:tblPr>
        <w:tblStyle w:val="Table1"/>
        <w:tblW w:w="132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3375"/>
        <w:gridCol w:w="1110"/>
        <w:gridCol w:w="1260"/>
        <w:gridCol w:w="1095"/>
        <w:gridCol w:w="3660"/>
        <w:tblGridChange w:id="0">
          <w:tblGrid>
            <w:gridCol w:w="2700"/>
            <w:gridCol w:w="3375"/>
            <w:gridCol w:w="1110"/>
            <w:gridCol w:w="1260"/>
            <w:gridCol w:w="1095"/>
            <w:gridCol w:w="3660"/>
          </w:tblGrid>
        </w:tblGridChange>
      </w:tblGrid>
      <w:tr>
        <w:trPr>
          <w:cantSplit w:val="0"/>
          <w:trHeight w:val="240" w:hRule="atLeast"/>
          <w:tblHeader w:val="0"/>
        </w:trPr>
        <w:tc>
          <w:tcPr>
            <w:gridSpan w:val="2"/>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5">
            <w:pPr>
              <w:pStyle w:val="Heading1"/>
              <w:pageBreakBefore w:val="0"/>
              <w:rPr/>
            </w:pPr>
            <w:bookmarkStart w:colFirst="0" w:colLast="0" w:name="_5k5j1nqjrhpo" w:id="0"/>
            <w:bookmarkEnd w:id="0"/>
            <w:r w:rsidDel="00000000" w:rsidR="00000000" w:rsidRPr="00000000">
              <w:rPr>
                <w:rtl w:val="0"/>
              </w:rPr>
              <w:t xml:space="preserve">NOTE: The SEL standards listed below are student standards. However, educators can use these standards to assess their own SEL skills and to guide their practice as they teach these skills to students.</w:t>
            </w:r>
            <w:r w:rsidDel="00000000" w:rsidR="00000000" w:rsidRPr="00000000">
              <w:rPr>
                <w:rtl w:val="0"/>
              </w:rPr>
            </w:r>
          </w:p>
        </w:tc>
        <w:tc>
          <w:tcPr>
            <w:gridSpan w:val="3"/>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7">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Rate your capacity</w:t>
            </w:r>
          </w:p>
          <w:p w:rsidR="00000000" w:rsidDel="00000000" w:rsidP="00000000" w:rsidRDefault="00000000" w:rsidRPr="00000000" w14:paraId="00000008">
            <w:pPr>
              <w:pageBreakBefore w:val="0"/>
              <w:spacing w:after="200" w:before="0" w:lineRule="auto"/>
              <w:rPr>
                <w:rFonts w:ascii="Roboto Light" w:cs="Roboto Light" w:eastAsia="Roboto Light" w:hAnsi="Roboto Light"/>
                <w:i w:val="1"/>
                <w:color w:val="ffffff"/>
                <w:sz w:val="20"/>
                <w:szCs w:val="20"/>
              </w:rPr>
            </w:pPr>
            <w:r w:rsidDel="00000000" w:rsidR="00000000" w:rsidRPr="00000000">
              <w:rPr>
                <w:rFonts w:ascii="Roboto Light" w:cs="Roboto Light" w:eastAsia="Roboto Light" w:hAnsi="Roboto Light"/>
                <w:i w:val="1"/>
                <w:color w:val="ffffff"/>
                <w:sz w:val="20"/>
                <w:szCs w:val="20"/>
                <w:rtl w:val="0"/>
              </w:rPr>
              <w:t xml:space="preserve">Criteria rated as an area of growth indicates the highest need for professional learning.</w:t>
            </w:r>
          </w:p>
        </w:tc>
        <w:tc>
          <w:tcPr>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B">
            <w:pPr>
              <w:pageBreakBefore w:val="0"/>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Notes (optional)</w:t>
            </w:r>
          </w:p>
        </w:tc>
      </w:tr>
      <w:tr>
        <w:trPr>
          <w:cantSplit w:val="0"/>
          <w:trHeight w:val="240" w:hRule="atLeast"/>
          <w:tblHeader w:val="0"/>
        </w:trPr>
        <w:tc>
          <w:tcPr>
            <w:gridSpan w:val="6"/>
            <w:tcBorders>
              <w:top w:color="d0363b"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0C">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1: SELF-AWARENESS – Individual has the ability to identify their emotions, personal assets, areas for growth, and potential external resources and supports.</w:t>
            </w:r>
          </w:p>
          <w:p w:rsidR="00000000" w:rsidDel="00000000" w:rsidP="00000000" w:rsidRDefault="00000000" w:rsidRPr="00000000" w14:paraId="0000000D">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3">
            <w:pPr>
              <w:pStyle w:val="Heading1"/>
              <w:pageBreakBefore w:val="0"/>
              <w:rPr>
                <w:color w:val="000000"/>
              </w:rPr>
            </w:pPr>
            <w:bookmarkStart w:colFirst="0" w:colLast="0" w:name="_a7op0rrcaikx" w:id="2"/>
            <w:bookmarkEnd w:id="2"/>
            <w:r w:rsidDel="00000000" w:rsidR="00000000" w:rsidRPr="00000000">
              <w:rPr>
                <w:color w:val="000000"/>
                <w:rtl w:val="0"/>
              </w:rPr>
              <w:t xml:space="preserve">Benchmark</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5">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16">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17">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18">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9">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1A">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B">
            <w:pPr>
              <w:pageBreakBefore w:val="0"/>
              <w:rPr>
                <w:rFonts w:ascii="Roboto" w:cs="Roboto" w:eastAsia="Roboto" w:hAnsi="Roboto"/>
                <w:sz w:val="24"/>
                <w:szCs w:val="24"/>
              </w:rPr>
            </w:pPr>
            <w:r w:rsidDel="00000000" w:rsidR="00000000" w:rsidRPr="00000000">
              <w:rPr>
                <w:rtl w:val="0"/>
              </w:rPr>
            </w:r>
          </w:p>
        </w:tc>
      </w:tr>
      <w:tr>
        <w:trPr>
          <w:cantSplit w:val="0"/>
          <w:trHeight w:val="1035"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1C">
            <w:pPr>
              <w:pageBreakBefore w:val="0"/>
              <w:spacing w:after="200" w:before="200" w:lineRule="auto"/>
              <w:rPr>
                <w:shd w:fill="fce5cd" w:val="clear"/>
              </w:rPr>
            </w:pPr>
            <w:r w:rsidDel="00000000" w:rsidR="00000000" w:rsidRPr="00000000">
              <w:rPr>
                <w:rtl w:val="0"/>
              </w:rPr>
              <w:t xml:space="preserve">Benchmark 1A</w:t>
            </w:r>
            <w:r w:rsidDel="00000000" w:rsidR="00000000" w:rsidRPr="00000000">
              <w:rPr>
                <w:rFonts w:ascii="Roboto Light" w:cs="Roboto Light" w:eastAsia="Roboto Light" w:hAnsi="Roboto Light"/>
                <w:rtl w:val="0"/>
              </w:rPr>
              <w:t xml:space="preserve"> | </w:t>
            </w:r>
            <w:r w:rsidDel="00000000" w:rsidR="00000000" w:rsidRPr="00000000">
              <w:rPr>
                <w:rtl w:val="0"/>
              </w:rPr>
              <w:t xml:space="preserve">Demonstrates awareness and understanding of one’s own emotions and emotions' influence on behavior.</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1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1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1">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22">
            <w:pPr>
              <w:pageBreakBefore w:val="0"/>
              <w:spacing w:after="200" w:before="200" w:lineRule="auto"/>
              <w:rPr/>
            </w:pPr>
            <w:r w:rsidDel="00000000" w:rsidR="00000000" w:rsidRPr="00000000">
              <w:rPr>
                <w:rtl w:val="0"/>
              </w:rPr>
              <w:t xml:space="preserve">Benchmark 1B</w:t>
            </w:r>
            <w:r w:rsidDel="00000000" w:rsidR="00000000" w:rsidRPr="00000000">
              <w:rPr>
                <w:rFonts w:ascii="Roboto Light" w:cs="Roboto Light" w:eastAsia="Roboto Light" w:hAnsi="Roboto Light"/>
                <w:rtl w:val="0"/>
              </w:rPr>
              <w:t xml:space="preserve"> | </w:t>
            </w:r>
            <w:r w:rsidDel="00000000" w:rsidR="00000000" w:rsidRPr="00000000">
              <w:rPr>
                <w:rtl w:val="0"/>
              </w:rPr>
              <w:t xml:space="preserve">Demonstrates awareness of personal and collective identity encompassing strengths, areas for growth, aspirations, and cultural and linguistic assets.</w:t>
            </w:r>
          </w:p>
          <w:p w:rsidR="00000000" w:rsidDel="00000000" w:rsidP="00000000" w:rsidRDefault="00000000" w:rsidRPr="00000000" w14:paraId="00000023">
            <w:pPr>
              <w:pageBreakBefore w:val="0"/>
              <w:spacing w:after="200" w:lineRule="auto"/>
              <w:rPr/>
            </w:pPr>
            <w:r w:rsidDel="00000000" w:rsidR="00000000" w:rsidRPr="00000000">
              <w:rPr>
                <w:rtl w:val="0"/>
              </w:rPr>
              <w:t xml:space="preserve"> </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8">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29">
            <w:pPr>
              <w:pageBreakBefore w:val="0"/>
              <w:spacing w:after="200" w:before="200" w:lineRule="auto"/>
              <w:rPr/>
            </w:pPr>
            <w:r w:rsidDel="00000000" w:rsidR="00000000" w:rsidRPr="00000000">
              <w:rPr>
                <w:rtl w:val="0"/>
              </w:rPr>
              <w:t xml:space="preserve">Benchmark 1C</w:t>
            </w:r>
            <w:r w:rsidDel="00000000" w:rsidR="00000000" w:rsidRPr="00000000">
              <w:rPr>
                <w:rFonts w:ascii="Roboto Light" w:cs="Roboto Light" w:eastAsia="Roboto Light" w:hAnsi="Roboto Light"/>
                <w:rtl w:val="0"/>
              </w:rPr>
              <w:t xml:space="preserve"> | </w:t>
            </w:r>
            <w:r w:rsidDel="00000000" w:rsidR="00000000" w:rsidRPr="00000000">
              <w:rPr>
                <w:rtl w:val="0"/>
              </w:rPr>
              <w:t xml:space="preserve">Demonstrates self-awareness and understanding of external influences, e.g., culture, family, school, and community resources and supports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E">
            <w:pPr>
              <w:pageBreakBefore w:val="0"/>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gridSpan w:val="6"/>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2F">
            <w:pPr>
              <w:pageBreakBefore w:val="0"/>
              <w:spacing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2: SELF-MANAGEMENT - Individual has the ability to regulate emotions, thoughts, and behaviors</w:t>
            </w:r>
          </w:p>
          <w:p w:rsidR="00000000" w:rsidDel="00000000" w:rsidP="00000000" w:rsidRDefault="00000000" w:rsidRPr="00000000" w14:paraId="00000030">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6">
            <w:pPr>
              <w:pStyle w:val="Heading1"/>
              <w:pageBreakBefore w:val="0"/>
              <w:rPr>
                <w:color w:val="000000"/>
              </w:rPr>
            </w:pPr>
            <w:bookmarkStart w:colFirst="0" w:colLast="0" w:name="_7lewsp4vhe8u" w:id="4"/>
            <w:bookmarkEnd w:id="4"/>
            <w:r w:rsidDel="00000000" w:rsidR="00000000" w:rsidRPr="00000000">
              <w:rPr>
                <w:color w:val="000000"/>
                <w:rtl w:val="0"/>
              </w:rPr>
              <w:t xml:space="preserve">Benchmark</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39">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3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3B">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C">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3D">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E">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93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3F">
            <w:pPr>
              <w:pageBreakBefore w:val="0"/>
              <w:spacing w:after="200" w:before="0" w:lineRule="auto"/>
              <w:rPr/>
            </w:pPr>
            <w:r w:rsidDel="00000000" w:rsidR="00000000" w:rsidRPr="00000000">
              <w:rPr>
                <w:rtl w:val="0"/>
              </w:rPr>
              <w:t xml:space="preserve">Benchmark 2A</w:t>
            </w:r>
            <w:r w:rsidDel="00000000" w:rsidR="00000000" w:rsidRPr="00000000">
              <w:rPr>
                <w:rFonts w:ascii="Roboto Light" w:cs="Roboto Light" w:eastAsia="Roboto Light" w:hAnsi="Roboto Light"/>
                <w:rtl w:val="0"/>
              </w:rPr>
              <w:t xml:space="preserve"> | </w:t>
            </w:r>
            <w:r w:rsidDel="00000000" w:rsidR="00000000" w:rsidRPr="00000000">
              <w:rPr>
                <w:rtl w:val="0"/>
              </w:rPr>
              <w:t xml:space="preserve">- Demonstrates the skills to manage one’s emotions, thoughts, impulses, and stress in constructive ways.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4">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45">
            <w:pPr>
              <w:pageBreakBefore w:val="0"/>
              <w:spacing w:after="200" w:before="200" w:lineRule="auto"/>
              <w:rPr>
                <w:rFonts w:ascii="Roboto Light" w:cs="Roboto Light" w:eastAsia="Roboto Light" w:hAnsi="Roboto Light"/>
              </w:rPr>
            </w:pPr>
            <w:r w:rsidDel="00000000" w:rsidR="00000000" w:rsidRPr="00000000">
              <w:rPr>
                <w:rFonts w:ascii="Roboto Light" w:cs="Roboto Light" w:eastAsia="Roboto Light" w:hAnsi="Roboto Light"/>
                <w:rtl w:val="0"/>
              </w:rPr>
              <w:t xml:space="preserve"> Benchmark 2B | </w:t>
            </w:r>
            <w:r w:rsidDel="00000000" w:rsidR="00000000" w:rsidRPr="00000000">
              <w:rPr>
                <w:rtl w:val="0"/>
              </w:rPr>
              <w:t xml:space="preserve">Demonstrates responsible decision-making and problem solving skills.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8">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9">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A">
            <w:pPr>
              <w:pageBreakBefore w:val="0"/>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gridSpan w:val="6"/>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4B">
            <w:pPr>
              <w:pageBreakBefore w:val="0"/>
              <w:spacing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3: SELF-EFFICACY – Individual has the ability to motivate themselves, persevere, and see themselves as capable</w:t>
            </w:r>
          </w:p>
          <w:p w:rsidR="00000000" w:rsidDel="00000000" w:rsidP="00000000" w:rsidRDefault="00000000" w:rsidRPr="00000000" w14:paraId="0000004C">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2">
            <w:pPr>
              <w:pStyle w:val="Heading1"/>
              <w:pageBreakBefore w:val="0"/>
              <w:rPr>
                <w:color w:val="000000"/>
              </w:rPr>
            </w:pPr>
            <w:bookmarkStart w:colFirst="0" w:colLast="0" w:name="_r3dxc3xvstm" w:id="6"/>
            <w:bookmarkEnd w:id="6"/>
            <w:r w:rsidDel="00000000" w:rsidR="00000000" w:rsidRPr="00000000">
              <w:rPr>
                <w:color w:val="000000"/>
                <w:rtl w:val="0"/>
              </w:rPr>
              <w:t xml:space="preserve">Benchmark</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4">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55">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5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57">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59">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A">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5B">
            <w:pPr>
              <w:pageBreakBefore w:val="0"/>
              <w:spacing w:after="200" w:before="200" w:lineRule="auto"/>
              <w:rPr>
                <w:shd w:fill="fce5cd" w:val="clear"/>
              </w:rPr>
            </w:pPr>
            <w:r w:rsidDel="00000000" w:rsidR="00000000" w:rsidRPr="00000000">
              <w:rPr>
                <w:rtl w:val="0"/>
              </w:rPr>
              <w:t xml:space="preserve">Benchmark 3A</w:t>
            </w:r>
            <w:r w:rsidDel="00000000" w:rsidR="00000000" w:rsidRPr="00000000">
              <w:rPr>
                <w:rFonts w:ascii="Roboto Light" w:cs="Roboto Light" w:eastAsia="Roboto Light" w:hAnsi="Roboto Light"/>
                <w:rtl w:val="0"/>
              </w:rPr>
              <w:t xml:space="preserve"> | </w:t>
            </w:r>
            <w:r w:rsidDel="00000000" w:rsidR="00000000" w:rsidRPr="00000000">
              <w:rPr>
                <w:rtl w:val="0"/>
              </w:rPr>
              <w:t xml:space="preserve">Demonstrates the skills to set, monitor, adapt, persevere, achieve, and evaluate goals.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5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5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5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0">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61">
            <w:pPr>
              <w:pageBreakBefore w:val="0"/>
              <w:spacing w:after="200" w:before="200" w:lineRule="auto"/>
              <w:rPr/>
            </w:pPr>
            <w:r w:rsidDel="00000000" w:rsidR="00000000" w:rsidRPr="00000000">
              <w:rPr>
                <w:rtl w:val="0"/>
              </w:rPr>
              <w:t xml:space="preserve">Benchmark 3B</w:t>
            </w:r>
            <w:r w:rsidDel="00000000" w:rsidR="00000000" w:rsidRPr="00000000">
              <w:rPr>
                <w:rFonts w:ascii="Roboto Light" w:cs="Roboto Light" w:eastAsia="Roboto Light" w:hAnsi="Roboto Light"/>
                <w:rtl w:val="0"/>
              </w:rPr>
              <w:t xml:space="preserve"> | </w:t>
            </w:r>
            <w:r w:rsidDel="00000000" w:rsidR="00000000" w:rsidRPr="00000000">
              <w:rPr>
                <w:rtl w:val="0"/>
              </w:rPr>
              <w:t xml:space="preserve">Demonstrates problem-solving skills to engage responsibly in a variety of situations.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6">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67">
            <w:pPr>
              <w:pageBreakBefore w:val="0"/>
              <w:spacing w:after="200" w:before="200" w:lineRule="auto"/>
              <w:rPr/>
            </w:pPr>
            <w:r w:rsidDel="00000000" w:rsidR="00000000" w:rsidRPr="00000000">
              <w:rPr>
                <w:rtl w:val="0"/>
              </w:rPr>
              <w:t xml:space="preserve">Benchmark 3C</w:t>
            </w:r>
            <w:r w:rsidDel="00000000" w:rsidR="00000000" w:rsidRPr="00000000">
              <w:rPr>
                <w:rFonts w:ascii="Roboto Light" w:cs="Roboto Light" w:eastAsia="Roboto Light" w:hAnsi="Roboto Light"/>
                <w:rtl w:val="0"/>
              </w:rPr>
              <w:t xml:space="preserve"> | </w:t>
            </w:r>
            <w:r w:rsidDel="00000000" w:rsidR="00000000" w:rsidRPr="00000000">
              <w:rPr>
                <w:rtl w:val="0"/>
              </w:rPr>
              <w:t xml:space="preserve">Demonstrate awareness and ability to speak on behalf of personal rights and advocacy.</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9">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A">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C">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6"/>
            <w:tcBorders>
              <w:top w:color="cccccc" w:space="0" w:sz="4" w:val="single"/>
              <w:left w:color="cccccc" w:space="0" w:sz="4" w:val="single"/>
              <w:bottom w:color="cccccc" w:space="0" w:sz="4" w:val="single"/>
              <w:right w:color="cccccc" w:space="0" w:sz="4" w:val="single"/>
            </w:tcBorders>
            <w:shd w:fill="d0363b" w:val="clear"/>
            <w:vAlign w:val="center"/>
          </w:tcPr>
          <w:p w:rsidR="00000000" w:rsidDel="00000000" w:rsidP="00000000" w:rsidRDefault="00000000" w:rsidRPr="00000000" w14:paraId="0000006D">
            <w:pPr>
              <w:pageBreakBefore w:val="0"/>
              <w:spacing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4: SOCIAL AWARENESS – Individual has the ability to take the perspective of and empathize with others from diverse backgrounds and cultures.</w:t>
            </w:r>
          </w:p>
          <w:p w:rsidR="00000000" w:rsidDel="00000000" w:rsidP="00000000" w:rsidRDefault="00000000" w:rsidRPr="00000000" w14:paraId="0000006E">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4">
            <w:pPr>
              <w:pStyle w:val="Heading1"/>
              <w:pageBreakBefore w:val="0"/>
              <w:rPr>
                <w:color w:val="000000"/>
              </w:rPr>
            </w:pPr>
            <w:bookmarkStart w:colFirst="0" w:colLast="0" w:name="_9zoo3lbnvh5r" w:id="8"/>
            <w:bookmarkEnd w:id="8"/>
            <w:r w:rsidDel="00000000" w:rsidR="00000000" w:rsidRPr="00000000">
              <w:rPr>
                <w:color w:val="000000"/>
                <w:rtl w:val="0"/>
              </w:rPr>
              <w:t xml:space="preserve">Benchmark</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77">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7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79">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7B">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C">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7D">
            <w:pPr>
              <w:pageBreakBefore w:val="0"/>
              <w:spacing w:after="200" w:lineRule="auto"/>
              <w:rPr>
                <w:shd w:fill="fce5cd" w:val="clear"/>
              </w:rPr>
            </w:pPr>
            <w:r w:rsidDel="00000000" w:rsidR="00000000" w:rsidRPr="00000000">
              <w:rPr>
                <w:rtl w:val="0"/>
              </w:rPr>
              <w:t xml:space="preserve">Benchmark 4A | Demonstrates awareness of other people’s emotions, perspectives, cultures, languages, histories, identities, and abilities.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F">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0">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1">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2">
            <w:pPr>
              <w:pageBreakBefore w:val="0"/>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83">
            <w:pPr>
              <w:pageBreakBefore w:val="0"/>
              <w:spacing w:after="200" w:lineRule="auto"/>
              <w:rPr/>
            </w:pPr>
            <w:r w:rsidDel="00000000" w:rsidR="00000000" w:rsidRPr="00000000">
              <w:rPr>
                <w:rtl w:val="0"/>
              </w:rPr>
              <w:t xml:space="preserve">Benchmark 4B | Demonstrates an awareness and respect for similarities and differences among community, cultural and social groups.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5">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6">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7">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8">
            <w:pPr>
              <w:pageBreakBefore w:val="0"/>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89">
            <w:pPr>
              <w:pageBreakBefore w:val="0"/>
              <w:spacing w:after="200" w:lineRule="auto"/>
              <w:rPr/>
            </w:pPr>
            <w:r w:rsidDel="00000000" w:rsidR="00000000" w:rsidRPr="00000000">
              <w:rPr>
                <w:rtl w:val="0"/>
              </w:rPr>
              <w:t xml:space="preserve">Benchmark 4C | Demonstrates an understanding of the variation within and across cultures.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B">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C">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D">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E">
            <w:pPr>
              <w:pageBreakBefore w:val="0"/>
              <w:rPr/>
            </w:pPr>
            <w:r w:rsidDel="00000000" w:rsidR="00000000" w:rsidRPr="00000000">
              <w:rPr>
                <w:rtl w:val="0"/>
              </w:rPr>
            </w:r>
          </w:p>
        </w:tc>
      </w:tr>
      <w:tr>
        <w:trPr>
          <w:cantSplit w:val="0"/>
          <w:trHeight w:val="220" w:hRule="atLeast"/>
          <w:tblHeader w:val="0"/>
        </w:trPr>
        <w:tc>
          <w:tcPr>
            <w:gridSpan w:val="6"/>
            <w:tcBorders>
              <w:top w:color="cccccc" w:space="0" w:sz="4" w:val="single"/>
              <w:left w:color="cccccc" w:space="0" w:sz="4" w:val="single"/>
              <w:bottom w:color="cccccc" w:space="0" w:sz="4" w:val="single"/>
              <w:right w:color="cccccc" w:space="0" w:sz="4" w:val="single"/>
            </w:tcBorders>
            <w:shd w:fill="d0363b" w:val="clear"/>
            <w:vAlign w:val="center"/>
          </w:tcPr>
          <w:p w:rsidR="00000000" w:rsidDel="00000000" w:rsidP="00000000" w:rsidRDefault="00000000" w:rsidRPr="00000000" w14:paraId="0000008F">
            <w:pPr>
              <w:pageBreakBefore w:val="0"/>
              <w:spacing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5: SOCIAL MANAGEMENT – Individual has the ability to make safe and constructive choices about personal behavior and social interactions.</w:t>
            </w:r>
          </w:p>
          <w:p w:rsidR="00000000" w:rsidDel="00000000" w:rsidP="00000000" w:rsidRDefault="00000000" w:rsidRPr="00000000" w14:paraId="00000090">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96">
            <w:pPr>
              <w:pStyle w:val="Heading1"/>
              <w:pageBreakBefore w:val="0"/>
              <w:rPr>
                <w:color w:val="000000"/>
              </w:rPr>
            </w:pPr>
            <w:bookmarkStart w:colFirst="0" w:colLast="0" w:name="_96bkl46u0l9t" w:id="9"/>
            <w:bookmarkEnd w:id="9"/>
            <w:r w:rsidDel="00000000" w:rsidR="00000000" w:rsidRPr="00000000">
              <w:rPr>
                <w:color w:val="000000"/>
                <w:rtl w:val="0"/>
              </w:rPr>
              <w:t xml:space="preserve">Benchmark</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9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99">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9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9B">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9C">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9D">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9E">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9F">
            <w:pPr>
              <w:pageBreakBefore w:val="0"/>
              <w:spacing w:after="200" w:lineRule="auto"/>
              <w:rPr/>
            </w:pPr>
            <w:r w:rsidDel="00000000" w:rsidR="00000000" w:rsidRPr="00000000">
              <w:rPr>
                <w:rtl w:val="0"/>
              </w:rPr>
              <w:t xml:space="preserve">Benchmark 5A | Demonstrates a range of communication and social skills to interact effectively with others.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1">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2">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3">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4">
            <w:pPr>
              <w:pageBreakBefore w:val="0"/>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A5">
            <w:pPr>
              <w:pageBreakBefore w:val="0"/>
              <w:spacing w:after="200" w:lineRule="auto"/>
              <w:rPr/>
            </w:pPr>
            <w:r w:rsidDel="00000000" w:rsidR="00000000" w:rsidRPr="00000000">
              <w:rPr>
                <w:rtl w:val="0"/>
              </w:rPr>
              <w:t xml:space="preserve">Benchmark 5B | Demonstrates the ability to identify and take steps to resolve interpersonal conflicts in constructive ways.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A7">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A8">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A9">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AA">
            <w:pPr>
              <w:pageBreakBefore w:val="0"/>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B">
            <w:pPr>
              <w:pageBreakBefore w:val="0"/>
              <w:spacing w:after="200" w:lineRule="auto"/>
              <w:rPr/>
            </w:pPr>
            <w:r w:rsidDel="00000000" w:rsidR="00000000" w:rsidRPr="00000000">
              <w:rPr>
                <w:rtl w:val="0"/>
              </w:rPr>
              <w:t xml:space="preserve">Benchmark 5C | Demonstrates the ability to engage in respectful and healthy relationships with individuals of diverse perspectives, cultures, language, history, identity, and ability.</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D">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E">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F">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B0">
            <w:pPr>
              <w:pageBreakBefore w:val="0"/>
              <w:rPr/>
            </w:pPr>
            <w:r w:rsidDel="00000000" w:rsidR="00000000" w:rsidRPr="00000000">
              <w:rPr>
                <w:rtl w:val="0"/>
              </w:rPr>
            </w:r>
          </w:p>
        </w:tc>
      </w:tr>
      <w:tr>
        <w:trPr>
          <w:cantSplit w:val="0"/>
          <w:trHeight w:val="240" w:hRule="atLeast"/>
          <w:tblHeader w:val="0"/>
        </w:trPr>
        <w:tc>
          <w:tcPr>
            <w:gridSpan w:val="6"/>
            <w:tcBorders>
              <w:top w:color="cccccc" w:space="0" w:sz="4" w:val="single"/>
              <w:left w:color="cccccc" w:space="0" w:sz="4" w:val="single"/>
              <w:bottom w:color="cccccc" w:space="0" w:sz="4" w:val="single"/>
              <w:right w:color="cccccc" w:space="0" w:sz="4" w:val="single"/>
            </w:tcBorders>
            <w:shd w:fill="d0363b" w:val="clear"/>
            <w:vAlign w:val="center"/>
          </w:tcPr>
          <w:p w:rsidR="00000000" w:rsidDel="00000000" w:rsidP="00000000" w:rsidRDefault="00000000" w:rsidRPr="00000000" w14:paraId="000000B1">
            <w:pPr>
              <w:pageBreakBefore w:val="0"/>
              <w:spacing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6: SOCIAL ENGAGEMENT – I– Individual has the ability to consider others and show a desire to contribute to the well-being of school and community</w:t>
            </w:r>
          </w:p>
          <w:p w:rsidR="00000000" w:rsidDel="00000000" w:rsidP="00000000" w:rsidRDefault="00000000" w:rsidRPr="00000000" w14:paraId="000000B2">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B8">
            <w:pPr>
              <w:pStyle w:val="Heading1"/>
              <w:pageBreakBefore w:val="0"/>
              <w:rPr>
                <w:color w:val="000000"/>
              </w:rPr>
            </w:pPr>
            <w:bookmarkStart w:colFirst="0" w:colLast="0" w:name="_346fpo6gqgpn" w:id="10"/>
            <w:bookmarkEnd w:id="10"/>
            <w:r w:rsidDel="00000000" w:rsidR="00000000" w:rsidRPr="00000000">
              <w:rPr>
                <w:color w:val="000000"/>
                <w:rtl w:val="0"/>
              </w:rPr>
              <w:t xml:space="preserve">Benchmark</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B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BB">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BC">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BD">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BE">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BF">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C0">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C1">
            <w:pPr>
              <w:pageBreakBefore w:val="0"/>
              <w:spacing w:after="200" w:lineRule="auto"/>
              <w:rPr/>
            </w:pPr>
            <w:r w:rsidDel="00000000" w:rsidR="00000000" w:rsidRPr="00000000">
              <w:rPr>
                <w:rtl w:val="0"/>
              </w:rPr>
              <w:t xml:space="preserve">Benchmark 6A | Demonstrates a sense of school and community responsibility</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3">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4">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5">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6">
            <w:pPr>
              <w:pageBreakBefore w:val="0"/>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C7">
            <w:pPr>
              <w:pageBreakBefore w:val="0"/>
              <w:spacing w:after="200" w:lineRule="auto"/>
              <w:rPr/>
            </w:pPr>
            <w:r w:rsidDel="00000000" w:rsidR="00000000" w:rsidRPr="00000000">
              <w:rPr>
                <w:rtl w:val="0"/>
              </w:rPr>
              <w:t xml:space="preserve">Benchmark 6B | Demonstrates the ability to work with others to set, monitor, adapt, achieve, and evaluate goals.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9">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A">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B">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C">
            <w:pPr>
              <w:pageBreakBefore w:val="0"/>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D">
            <w:pPr>
              <w:pageBreakBefore w:val="0"/>
              <w:spacing w:after="200" w:lineRule="auto"/>
              <w:rPr/>
            </w:pPr>
            <w:r w:rsidDel="00000000" w:rsidR="00000000" w:rsidRPr="00000000">
              <w:rPr>
                <w:rtl w:val="0"/>
              </w:rPr>
              <w:t xml:space="preserve">Benchmark 6C |  Contributes productively to one’s school, workplace, and community.</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F">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D0">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D1">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D2">
            <w:pPr>
              <w:pageBreakBefore w:val="0"/>
              <w:rPr/>
            </w:pPr>
            <w:r w:rsidDel="00000000" w:rsidR="00000000" w:rsidRPr="00000000">
              <w:rPr>
                <w:rtl w:val="0"/>
              </w:rPr>
            </w:r>
          </w:p>
        </w:tc>
      </w:tr>
    </w:tbl>
    <w:p w:rsidR="00000000" w:rsidDel="00000000" w:rsidP="00000000" w:rsidRDefault="00000000" w:rsidRPr="00000000" w14:paraId="000000D3">
      <w:pPr>
        <w:pageBreakBefore w:val="0"/>
        <w:spacing w:after="0" w:line="240" w:lineRule="auto"/>
        <w:rPr/>
      </w:pPr>
      <w:r w:rsidDel="00000000" w:rsidR="00000000" w:rsidRPr="00000000">
        <w:rPr>
          <w:rtl w:val="0"/>
        </w:rPr>
      </w:r>
    </w:p>
    <w:sectPr>
      <w:headerReference r:id="rId9" w:type="default"/>
      <w:footerReference r:id="rId10"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 w:name="Roboto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ageBreakBefore w:val="0"/>
      <w:jc w:val="right"/>
      <w:rPr/>
    </w:pPr>
    <w:r w:rsidDel="00000000" w:rsidR="00000000" w:rsidRPr="00000000">
      <w:rPr>
        <w:sz w:val="18"/>
        <w:szCs w:val="18"/>
        <w:rtl w:val="0"/>
      </w:rPr>
      <w:t xml:space="preserve">Washington State Professional Educator Standards Board | rev. 07.2021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Style w:val="Title"/>
      <w:pageBreakBefore w:val="0"/>
      <w:spacing w:before="0" w:lineRule="auto"/>
      <w:jc w:val="left"/>
      <w:rPr/>
    </w:pPr>
    <w:bookmarkStart w:colFirst="0" w:colLast="0" w:name="_1ornolvhn24w" w:id="11"/>
    <w:bookmarkEnd w:id="11"/>
    <w:r w:rsidDel="00000000" w:rsidR="00000000" w:rsidRPr="00000000">
      <w:rPr>
        <w:rtl w:val="0"/>
      </w:rPr>
      <w:t xml:space="preserve">NEEDS </w:t>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371475</wp:posOffset>
          </wp:positionV>
          <wp:extent cx="2907506" cy="8551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506" cy="855149"/>
                  </a:xfrm>
                  <a:prstGeom prst="rect"/>
                  <a:ln/>
                </pic:spPr>
              </pic:pic>
            </a:graphicData>
          </a:graphic>
        </wp:anchor>
      </w:drawing>
    </w:r>
    <w:r w:rsidDel="00000000" w:rsidR="00000000" w:rsidRPr="00000000">
      <w:rPr>
        <w:rtl w:val="0"/>
      </w:rPr>
      <w:t xml:space="preserve">ASSESSMENT FOR </w:t>
    </w:r>
  </w:p>
  <w:p w:rsidR="00000000" w:rsidDel="00000000" w:rsidP="00000000" w:rsidRDefault="00000000" w:rsidRPr="00000000" w14:paraId="000000D6">
    <w:pPr>
      <w:pStyle w:val="Title"/>
      <w:pageBreakBefore w:val="0"/>
      <w:spacing w:before="0" w:lineRule="auto"/>
      <w:jc w:val="left"/>
      <w:rPr/>
    </w:pPr>
    <w:bookmarkStart w:colFirst="0" w:colLast="0" w:name="_83az5lb4o07n" w:id="12"/>
    <w:bookmarkEnd w:id="12"/>
    <w:r w:rsidDel="00000000" w:rsidR="00000000" w:rsidRPr="00000000">
      <w:rPr>
        <w:rtl w:val="0"/>
      </w:rPr>
      <w:t xml:space="preserve">PROFESSIONAL GROWTH PLANS </w:t>
    </w:r>
  </w:p>
  <w:p w:rsidR="00000000" w:rsidDel="00000000" w:rsidP="00000000" w:rsidRDefault="00000000" w:rsidRPr="00000000" w14:paraId="000000D7">
    <w:pPr>
      <w:pStyle w:val="Title"/>
      <w:pageBreakBefore w:val="0"/>
      <w:spacing w:before="0" w:lineRule="auto"/>
      <w:jc w:val="left"/>
      <w:rPr>
        <w:sz w:val="24"/>
        <w:szCs w:val="24"/>
      </w:rPr>
    </w:pPr>
    <w:bookmarkStart w:colFirst="0" w:colLast="0" w:name="_qpsjw8hpjcq" w:id="13"/>
    <w:bookmarkEnd w:id="13"/>
    <w:r w:rsidDel="00000000" w:rsidR="00000000" w:rsidRPr="00000000">
      <w:rPr>
        <w:rtl w:val="0"/>
      </w:rPr>
      <w:t xml:space="preserve">Social Emotional Learning Standards</w:t>
    </w:r>
    <w:r w:rsidDel="00000000" w:rsidR="00000000" w:rsidRPr="00000000">
      <w:rPr>
        <w:rtl w:val="0"/>
      </w:rPr>
    </w:r>
  </w:p>
  <w:p w:rsidR="00000000" w:rsidDel="00000000" w:rsidP="00000000" w:rsidRDefault="00000000" w:rsidRPr="00000000" w14:paraId="000000D8">
    <w:pPr>
      <w:pageBreakBefore w:val="0"/>
      <w:spacing w:before="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Roboto" w:cs="Roboto" w:eastAsia="Roboto" w:hAnsi="Roboto"/>
      <w:color w:val="ffffff"/>
      <w:sz w:val="24"/>
      <w:szCs w:val="24"/>
    </w:rPr>
  </w:style>
  <w:style w:type="paragraph" w:styleId="Heading2">
    <w:name w:val="heading 2"/>
    <w:basedOn w:val="Normal"/>
    <w:next w:val="Normal"/>
    <w:pPr>
      <w:keepNext w:val="1"/>
      <w:keepLines w:val="1"/>
      <w:pageBreakBefore w:val="0"/>
      <w:spacing w:after="0" w:line="240" w:lineRule="auto"/>
    </w:pPr>
    <w:rPr>
      <w:rFonts w:ascii="Roboto" w:cs="Roboto" w:eastAsia="Roboto" w:hAnsi="Roboto"/>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line="240" w:lineRule="auto"/>
      <w:jc w:val="center"/>
    </w:pPr>
    <w:rPr>
      <w:rFonts w:ascii="Lato Black" w:cs="Lato Black" w:eastAsia="Lato Black" w:hAnsi="Lato Black"/>
      <w:color w:val="2d3047"/>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esb.wa.gov/workforce/developing-current-educators/pgp/" TargetMode="External"/><Relationship Id="rId7" Type="http://schemas.openxmlformats.org/officeDocument/2006/relationships/hyperlink" Target="https://www.pesb.wa.gov/paraeducator-certificate-program/certificate-options/" TargetMode="External"/><Relationship Id="rId8" Type="http://schemas.openxmlformats.org/officeDocument/2006/relationships/hyperlink" Target="https://www.k12.wa.us/sites/default/files/public/studentsupport/sel/pubdocs/Standards%2C%20Benchmarks%20Indicators%20-%20creative%20commons.pdf"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RobotoLight-regular.ttf"/><Relationship Id="rId10" Type="http://schemas.openxmlformats.org/officeDocument/2006/relationships/font" Target="fonts/LatoBlack-boldItalic.ttf"/><Relationship Id="rId13" Type="http://schemas.openxmlformats.org/officeDocument/2006/relationships/font" Target="fonts/RobotoLight-italic.ttf"/><Relationship Id="rId12" Type="http://schemas.openxmlformats.org/officeDocument/2006/relationships/font" Target="fonts/RobotoLight-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Black-bold.ttf"/><Relationship Id="rId14" Type="http://schemas.openxmlformats.org/officeDocument/2006/relationships/font" Target="fonts/RobotoLigh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