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009999"/>
          <w:sz w:val="32"/>
          <w:szCs w:val="32"/>
        </w:rPr>
      </w:pPr>
      <w:r w:rsidDel="00000000" w:rsidR="00000000" w:rsidRPr="00000000">
        <w:rPr>
          <w:b w:val="1"/>
          <w:color w:val="009999"/>
          <w:sz w:val="32"/>
          <w:szCs w:val="32"/>
          <w:rtl w:val="0"/>
        </w:rPr>
        <w:t xml:space="preserve">Professional transitions to public schools </w:t>
        <w:br w:type="textWrapping"/>
        <w:t xml:space="preserve">for Educational Staff Associates (ESAs)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9999"/>
          <w:sz w:val="32"/>
          <w:szCs w:val="32"/>
        </w:rPr>
      </w:pPr>
      <w:r w:rsidDel="00000000" w:rsidR="00000000" w:rsidRPr="00000000">
        <w:rPr>
          <w:b w:val="1"/>
          <w:color w:val="009999"/>
          <w:sz w:val="32"/>
          <w:szCs w:val="32"/>
          <w:rtl w:val="0"/>
        </w:rPr>
        <w:t xml:space="preserve">Course proposal</w:t>
      </w:r>
    </w:p>
    <w:tbl>
      <w:tblPr>
        <w:tblStyle w:val="Table1"/>
        <w:tblW w:w="9735.0" w:type="dxa"/>
        <w:jc w:val="left"/>
        <w:tblInd w:w="-2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75"/>
        <w:tblGridChange w:id="0">
          <w:tblGrid>
            <w:gridCol w:w="4860"/>
            <w:gridCol w:w="4875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COURSE INFORMATION: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Course provider organization name: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Course name: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Primary contact information for PESB proposal: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i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Primary contact information for potential participants:</w:t>
              <w:br w:type="textWrapping"/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Note: if the course is approved, this contact information will appear on our PESB website.</w:t>
            </w:r>
          </w:p>
          <w:p w:rsidR="00000000" w:rsidDel="00000000" w:rsidP="00000000" w:rsidRDefault="00000000" w:rsidRPr="00000000" w14:paraId="00000014">
            <w:pPr>
              <w:rPr>
                <w:i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Check the appropriate box: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Approval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Reapproval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Check the appropriate box: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understand that my organization will need to apply for reapproval of this course per the schedule posted by PESB.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Course Details: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Projected enrollment for this upcoming year: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Projected start date: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Length of course: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Cost for candidates:</w:t>
            </w:r>
            <w:r w:rsidDel="00000000" w:rsidR="00000000" w:rsidRPr="00000000">
              <w:rPr>
                <w:color w:val="808080"/>
                <w:rtl w:val="0"/>
              </w:rPr>
              <w:t xml:space="preserve"> Click or tap here to enter text.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Training frequency: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How often is the course offered? (For example, is this course offered three times a year, or offered on demand?)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Which of the following applies to your organization?</w:t>
            </w:r>
            <w:r w:rsidDel="00000000" w:rsidR="00000000" w:rsidRPr="00000000">
              <w:rPr>
                <w:color w:val="ffffff"/>
                <w:rtl w:val="0"/>
              </w:rPr>
              <w:t xml:space="preserve"> (Check all that apply)</w:t>
            </w:r>
          </w:p>
          <w:p w:rsidR="00000000" w:rsidDel="00000000" w:rsidP="00000000" w:rsidRDefault="00000000" w:rsidRPr="00000000" w14:paraId="00000031">
            <w:pPr>
              <w:rPr>
                <w:i w:val="1"/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Providers are not required to be one of the following types of organizations.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Washington state clock hour provider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PESB approved preparation program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Accredited college/university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 applicable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What structures do you have in place for registering candidates for your course, and providing candidates with documentation for completion of the course?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Which of the following educational staff associate roles does the course serve? Check all that apply.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occupational therapist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physical therapist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behavioral analyst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nurse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speech language pathologist/audiologist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social worker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orientation and mobility specialist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44546a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Is this a stand-alone course or is within an educator preparation program?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4546a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Who is eligible to enroll in this course?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Stand alone course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Course within a prep program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(Please explain)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Only candidates within the preparation program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Open to everyone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Enrollment conditions (Please explain)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44546a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H</w:t>
            </w: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ow will the training be delivered?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4546a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How often will participants meet? (Ex. weekly, bi-weekly, over the weekend, etc.). Please describe below.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 person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Virtually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ynchronous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synchronous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  <w:t xml:space="preserve">ybrid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ind w:right="-119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Describe how your course is designed to meet the needs of adult learners: (Check all that apply and describe)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Varied course material (text, visual aid, presentation)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Offers Q &amp; A (in person, email, live chat)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Acknowledges and builds on past experience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Offers take-away materials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Interactive/engaging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Description: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Instructors must have demonstrated knowledge and experience in the course competencies. How will you ensure instructors are appropriately prepared to teach this course?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Please include any other relevant course features or comments: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left"/>
        <w:rPr>
          <w:b w:val="1"/>
          <w:color w:val="009999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Ind w:w="-2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75"/>
        <w:tblGridChange w:id="0">
          <w:tblGrid>
            <w:gridCol w:w="4860"/>
            <w:gridCol w:w="4875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CULTURAL RESPONSIVENESS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44546a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Describe and provide 2-3 examples of how the instructional design of the course will reflect sensitivity and relevance to the cultures and backgrounds of each of the following three groups: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The ESA course participants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The educators served by the ESA course participants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The students served by the ESA course participants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 should reflect principles found within the </w:t>
            </w:r>
            <w:hyperlink r:id="rId7">
              <w:r w:rsidDel="00000000" w:rsidR="00000000" w:rsidRPr="00000000">
                <w:rPr>
                  <w:b w:val="1"/>
                  <w:color w:val="ffffff"/>
                  <w:u w:val="single"/>
                  <w:rtl w:val="0"/>
                </w:rPr>
                <w:t xml:space="preserve">CCDEI standards</w:t>
              </w:r>
            </w:hyperlink>
            <w:r w:rsidDel="00000000" w:rsidR="00000000" w:rsidRPr="00000000">
              <w:rPr>
                <w:b w:val="1"/>
                <w:color w:val="ffffff"/>
                <w:rtl w:val="0"/>
              </w:rPr>
              <w:t xml:space="preserve">.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Before completing this section, please refer to the scoring rubric for additional details: </w:t>
      </w:r>
      <w:hyperlink r:id="rId8">
        <w:r w:rsidDel="00000000" w:rsidR="00000000" w:rsidRPr="00000000">
          <w:rPr>
            <w:rFonts w:ascii="Roboto" w:cs="Roboto" w:eastAsia="Roboto" w:hAnsi="Roboto"/>
            <w:color w:val="0000ff"/>
            <w:sz w:val="21"/>
            <w:szCs w:val="21"/>
            <w:highlight w:val="white"/>
            <w:u w:val="single"/>
            <w:rtl w:val="0"/>
          </w:rPr>
          <w:t xml:space="preserve">Professional Transitions to Public Schools review rubric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1"/>
        <w:gridCol w:w="3449"/>
        <w:gridCol w:w="2970"/>
        <w:tblGridChange w:id="0">
          <w:tblGrid>
            <w:gridCol w:w="3301"/>
            <w:gridCol w:w="3449"/>
            <w:gridCol w:w="2970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3"/>
            <w:shd w:fill="44546a" w:val="clear"/>
          </w:tcPr>
          <w:p w:rsidR="00000000" w:rsidDel="00000000" w:rsidP="00000000" w:rsidRDefault="00000000" w:rsidRPr="00000000" w14:paraId="00000077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REQUIRED CONTENT AND DEMONSTRATION OF COMPETENCY</w:t>
            </w:r>
          </w:p>
        </w:tc>
      </w:tr>
      <w:tr>
        <w:trPr>
          <w:cantSplit w:val="0"/>
          <w:tblHeader w:val="0"/>
        </w:trPr>
        <w:tc>
          <w:tcPr>
            <w:shd w:fill="44546a" w:val="clear"/>
          </w:tcPr>
          <w:p w:rsidR="00000000" w:rsidDel="00000000" w:rsidP="00000000" w:rsidRDefault="00000000" w:rsidRPr="00000000" w14:paraId="0000007A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All required content is found in</w:t>
              <w:br w:type="textWrapping"/>
              <w:t xml:space="preserve">WAC 181-79A-224</w:t>
            </w:r>
          </w:p>
          <w:p w:rsidR="00000000" w:rsidDel="00000000" w:rsidP="00000000" w:rsidRDefault="00000000" w:rsidRPr="00000000" w14:paraId="0000007B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  <w:i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i w:val="1"/>
                <w:color w:val="ffffff"/>
                <w:shd w:fill="44546a" w:val="clear"/>
                <w:rtl w:val="0"/>
              </w:rPr>
              <w:t xml:space="preserve">*Please be sure to address italicized notes</w:t>
            </w:r>
          </w:p>
        </w:tc>
        <w:tc>
          <w:tcPr>
            <w:shd w:fill="44546a" w:val="clear"/>
          </w:tcPr>
          <w:p w:rsidR="00000000" w:rsidDel="00000000" w:rsidP="00000000" w:rsidRDefault="00000000" w:rsidRPr="00000000" w14:paraId="0000007D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Describe in detail the course content that meets the required content in WAC 181-79A-224. Include 2-3 examples.</w:t>
            </w:r>
          </w:p>
          <w:p w:rsidR="00000000" w:rsidDel="00000000" w:rsidP="00000000" w:rsidRDefault="00000000" w:rsidRPr="00000000" w14:paraId="0000007E">
            <w:pPr>
              <w:rPr>
                <w:b w:val="1"/>
                <w:color w:val="ffffff"/>
                <w:shd w:fill="44546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i w:val="1"/>
                <w:color w:val="ffffff"/>
                <w:shd w:fill="44546a" w:val="clear"/>
              </w:rPr>
            </w:pPr>
            <w:r w:rsidDel="00000000" w:rsidR="00000000" w:rsidRPr="00000000">
              <w:rPr>
                <w:i w:val="1"/>
                <w:color w:val="ffffff"/>
                <w:shd w:fill="44546a" w:val="clear"/>
                <w:rtl w:val="0"/>
              </w:rPr>
              <w:t xml:space="preserve">Please include time allotted for each topic. Total number of course hours must not be less than 15. Additional time or content may be added.</w:t>
            </w:r>
          </w:p>
        </w:tc>
        <w:tc>
          <w:tcPr>
            <w:shd w:fill="44546a" w:val="clear"/>
          </w:tcPr>
          <w:p w:rsidR="00000000" w:rsidDel="00000000" w:rsidP="00000000" w:rsidRDefault="00000000" w:rsidRPr="00000000" w14:paraId="00000080">
            <w:pPr>
              <w:rPr>
                <w:i w:val="1"/>
                <w:color w:val="ffffff"/>
                <w:shd w:fill="44546a" w:val="clear"/>
              </w:rPr>
            </w:pPr>
            <w:r w:rsidDel="00000000" w:rsidR="00000000" w:rsidRPr="00000000">
              <w:rPr>
                <w:b w:val="1"/>
                <w:color w:val="ffffff"/>
                <w:shd w:fill="44546a" w:val="clear"/>
                <w:rtl w:val="0"/>
              </w:rPr>
              <w:t xml:space="preserve">Describe in detail how participants demonstrate they meet this competency through assessments, key assignments, observations, etc. Include 2-3 examples.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1"/>
                <w:szCs w:val="21"/>
                <w:shd w:fill="fffbe1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an understanding of school and special education laws and policies (national, state, and local) and their application to decision-making processes in the educational setting.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83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Understand and demonstrate knowledge of working within the culture of the schools, creating an environment that fosters safety, health, and learning for the students.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8D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knowledge of appropriate resources in the school setting. 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*A quality </w:t>
            </w:r>
            <w:r w:rsidDel="00000000" w:rsidR="00000000" w:rsidRPr="00000000">
              <w:rPr>
                <w:i w:val="1"/>
                <w:rtl w:val="0"/>
              </w:rPr>
              <w:t xml:space="preserve">response school system level resources available to multi-disciplinary teams to support students with a variety of needs.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96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knowledge of collaboration with team members which may include parents, teachers, administrators, and others to support learning outcomes for all students.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9D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knowledge of how to support the outcomes for all students through strategies such as scientifically-based practices, collaborative teaming, and ethical decision making.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A7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Use professional standards to inform professional growth planning.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B1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an understanding of the use of human, community, and </w:t>
            </w:r>
            <w:r w:rsidDel="00000000" w:rsidR="00000000" w:rsidRPr="00000000">
              <w:rPr>
                <w:color w:val="000000"/>
                <w:rtl w:val="0"/>
              </w:rPr>
              <w:t xml:space="preserve">technological resources.</w:t>
            </w:r>
          </w:p>
          <w:p w:rsidR="00000000" w:rsidDel="00000000" w:rsidP="00000000" w:rsidRDefault="00000000" w:rsidRPr="00000000" w14:paraId="000000B6">
            <w:pPr>
              <w:ind w:left="360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*A quality response should demonstrate awareness of applicable resources to support students with a variety of needs.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</w:p>
          <w:p w:rsidR="00000000" w:rsidDel="00000000" w:rsidP="00000000" w:rsidRDefault="00000000" w:rsidRPr="00000000" w14:paraId="000000B8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allotted: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shd w:fill="44546a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FOR REAPPROVAL ONLY</w:t>
            </w:r>
          </w:p>
        </w:tc>
      </w:tr>
      <w:tr>
        <w:trPr>
          <w:cantSplit w:val="0"/>
          <w:tblHeader w:val="0"/>
        </w:trPr>
        <w:tc>
          <w:tcPr>
            <w:shd w:fill="44546a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Describe any modifications made to the original course, including modifications based on current policy. </w:t>
            </w:r>
          </w:p>
          <w:p w:rsidR="00000000" w:rsidDel="00000000" w:rsidP="00000000" w:rsidRDefault="00000000" w:rsidRPr="00000000" w14:paraId="000000C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i w:val="1"/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Please include examples. </w:t>
            </w:r>
          </w:p>
          <w:p w:rsidR="00000000" w:rsidDel="00000000" w:rsidP="00000000" w:rsidRDefault="00000000" w:rsidRPr="00000000" w14:paraId="000000C4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color w:val="00000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35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675"/>
        <w:tblGridChange w:id="0">
          <w:tblGrid>
            <w:gridCol w:w="4860"/>
            <w:gridCol w:w="4675"/>
          </w:tblGrid>
        </w:tblGridChange>
      </w:tblGrid>
      <w:tr>
        <w:trPr>
          <w:cantSplit w:val="0"/>
          <w:trHeight w:val="6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your signature.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Printed Name: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Title: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For any questions, comments, or concerns please reach out to Leiani Sherwin at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leiani.sherwin@k12.wa.us</w:t>
        </w:r>
      </w:hyperlink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Please submit completed form to Makenzie Dyer at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makenzie.dyer@k12.wa.us</w:t>
        </w:r>
      </w:hyperlink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Last revised </w:t>
    </w:r>
    <w:r w:rsidDel="00000000" w:rsidR="00000000" w:rsidRPr="00000000">
      <w:rPr>
        <w:rtl w:val="0"/>
      </w:rPr>
      <w:t xml:space="preserve">January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</w:rPr>
      <w:drawing>
        <wp:inline distB="0" distT="0" distL="0" distR="0">
          <wp:extent cx="5943600" cy="8191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19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3D97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PlaceholderText">
    <w:name w:val="Placeholder Text"/>
    <w:basedOn w:val="DefaultParagraphFont"/>
    <w:uiPriority w:val="99"/>
    <w:semiHidden w:val="1"/>
    <w:rsid w:val="004F3D97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4F3D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3D97"/>
  </w:style>
  <w:style w:type="paragraph" w:styleId="Footer">
    <w:name w:val="footer"/>
    <w:basedOn w:val="Normal"/>
    <w:link w:val="FooterChar"/>
    <w:uiPriority w:val="99"/>
    <w:unhideWhenUsed w:val="1"/>
    <w:rsid w:val="004F3D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3D9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F3D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F3D97"/>
    <w:rPr>
      <w:rFonts w:ascii="Segoe UI" w:cs="Segoe UI" w:hAnsi="Segoe UI"/>
      <w:sz w:val="18"/>
      <w:szCs w:val="18"/>
    </w:rPr>
  </w:style>
  <w:style w:type="table" w:styleId="TableGridLight">
    <w:name w:val="Grid Table Light"/>
    <w:basedOn w:val="TableNormal"/>
    <w:uiPriority w:val="40"/>
    <w:rsid w:val="004F3D97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4F3D97"/>
    <w:rPr>
      <w:color w:val="0000ff"/>
      <w:u w:val="single"/>
    </w:rPr>
  </w:style>
  <w:style w:type="paragraph" w:styleId="Style2" w:customStyle="1">
    <w:name w:val="Style2"/>
    <w:basedOn w:val="Normal"/>
    <w:link w:val="Style2Char"/>
    <w:qFormat w:val="1"/>
    <w:rsid w:val="004F3D97"/>
    <w:pPr>
      <w:spacing w:after="0" w:line="240" w:lineRule="auto"/>
    </w:pPr>
    <w:rPr>
      <w:rFonts w:ascii="Arial" w:cs="Arial" w:hAnsi="Arial"/>
      <w:sz w:val="20"/>
      <w:szCs w:val="20"/>
    </w:rPr>
  </w:style>
  <w:style w:type="character" w:styleId="Style2Char" w:customStyle="1">
    <w:name w:val="Style2 Char"/>
    <w:basedOn w:val="DefaultParagraphFont"/>
    <w:link w:val="Style2"/>
    <w:rsid w:val="004F3D97"/>
    <w:rPr>
      <w:rFonts w:ascii="Arial" w:cs="Arial" w:eastAsia="Calibri" w:hAnsi="Arial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D80CE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47B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4D23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C3D9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makenzie.dyer@k12.wa.us" TargetMode="External"/><Relationship Id="rId12" Type="http://schemas.openxmlformats.org/officeDocument/2006/relationships/footer" Target="footer1.xml"/><Relationship Id="rId9" Type="http://schemas.openxmlformats.org/officeDocument/2006/relationships/hyperlink" Target="mailto:leiani.sherwin@k12.wa.u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_1nf9XWXJKT_a3lOP169VmVc3U0l1ze0/view" TargetMode="External"/><Relationship Id="rId8" Type="http://schemas.openxmlformats.org/officeDocument/2006/relationships/hyperlink" Target="https://www.pesb.wa.gov/wp-content/uploads/Professional-Transitions-to-Public-Schools-review-rubric-October2021.doc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gUxRWFUiWlEdQrgpgEKW56ut9Q==">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2021-08-02T18:29:00Z</dcterms:created>
  <dc:creator>Megan Moore (PESB)</dc:creator>
</cp:coreProperties>
</file>